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Bontoux</w:t>
      </w:r>
    </w:p>
    <w:p>
      <w:pPr>
        <w:spacing w:line="240" w:lineRule="auto" w:before="0" w:after="0"/>
        <w:jc w:val="right"/>
      </w:pPr>
      <w:r>
        <w:t>SARL Cabinet TOULEMONDE-BONTOUX</w:t>
      </w:r>
    </w:p>
    <w:p>
      <w:pPr>
        <w:spacing w:line="240" w:lineRule="auto" w:before="0" w:after="0"/>
        <w:jc w:val="right"/>
      </w:pPr>
      <w:r>
        <w:t>Micropolis - Quartier Belle Aureille Bât IC5</w:t>
      </w:r>
    </w:p>
    <w:p>
      <w:pPr>
        <w:spacing w:line="240" w:lineRule="auto" w:before="0" w:after="0"/>
        <w:jc w:val="right"/>
      </w:pPr>
      <w:r>
        <w:t>05000 GAP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Bontoux,</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Le cabinet TOULEMONDE-BONTOUX se distingue par son implantation stratégique sur plusieurs secteurs clés, tels que Gap, Barcelonnette et Embrun. Cette présence multisite témoigne d'une capacité à intervenir sur une grande diversité de territoires, allant des zones urbaines aux environnements de montagne. Une telle polyvalence géographique implique une maîtrise fine des spécificités locales et une adaptabilité constante face aux enjeux fonciers variés propres à chaque zone d'intervention.</w:t>
      </w:r>
    </w:p>
    <w:p>
      <w:pPr>
        <w:spacing w:line="276" w:lineRule="auto" w:before="0" w:after="160"/>
        <w:jc w:val="both"/>
      </w:pPr>
      <w:r>
        <w:t>Mon parcours m'a doté d'une forte culture de la donnée spatiale (topographie, modélisation, SIG, traitement Python)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Bontoux,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