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Loppin</w:t>
      </w:r>
    </w:p>
    <w:p>
      <w:pPr>
        <w:spacing w:line="240" w:lineRule="auto" w:before="0" w:after="0"/>
        <w:jc w:val="right"/>
      </w:pPr>
      <w:r>
        <w:t>Cabinet LOPPIN Pierre</w:t>
      </w:r>
    </w:p>
    <w:p>
      <w:pPr>
        <w:spacing w:line="240" w:lineRule="auto" w:before="0" w:after="0"/>
        <w:jc w:val="right"/>
      </w:pPr>
      <w:r>
        <w:t>7 rue Antoine Scoffier La Solehada</w:t>
      </w:r>
    </w:p>
    <w:p>
      <w:pPr>
        <w:spacing w:line="240" w:lineRule="auto" w:before="0" w:after="0"/>
        <w:jc w:val="right"/>
      </w:pPr>
      <w:r>
        <w:t>06340 LA TRINITE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LOPPIN Pierre se distingue par une structure à taille humaine, permettant une maîtrise rigoureuse du cœur de métier et une proximité directe avec les clients. Votre implantation à La Trinité témoigne d'un ancrage local fort, où la réactivité et la qualité de l'accompagnement technique sont essentielles pour répondre aux problématiques foncières de proximité. Cette organisation favorise une approche de travail directe, où la précision de chaque intervention technique et la clarté des conseils fournis contribuent immédiatement à la sécurisation des projets et à la pérennité des droits des usagers dans un contexte de développement maîtrisé.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