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Thibaut Nivola</w:t>
      </w:r>
    </w:p>
    <w:p>
      <w:pPr>
        <w:spacing w:line="240" w:lineRule="auto" w:before="0" w:after="0"/>
        <w:jc w:val="right"/>
      </w:pPr>
      <w:r>
        <w:t>CABINET NIVOLA</w:t>
      </w:r>
    </w:p>
    <w:p>
      <w:pPr>
        <w:spacing w:line="240" w:lineRule="auto" w:before="0" w:after="0"/>
        <w:jc w:val="right"/>
      </w:pPr>
      <w:r>
        <w:t>2370 Route Métropolitaine 2210 Quartier Le Peyron</w:t>
      </w:r>
    </w:p>
    <w:p>
      <w:pPr>
        <w:spacing w:line="240" w:lineRule="auto" w:before="0" w:after="0"/>
        <w:jc w:val="right"/>
      </w:pPr>
      <w:r>
        <w:t>06640 ST JEANNET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Nivola,</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Nivola se distingue par sa création récente en 2025, témoignant d'une volonté d'implantation dynamique et structurée sur le territoire. Cette nouvelle structure offre une opportunité unique de participer à la construction d'une pratique rigoureuse, où l'agilité et la modernité de l'organisation permettent de répondre aux enjeux actuels du foncier avec une vision structurée et une approche proactive.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Nivola,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