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Ange-Marie Andre Louis-David Flaugnatti</w:t>
      </w:r>
    </w:p>
    <w:p>
      <w:pPr>
        <w:spacing w:line="240" w:lineRule="auto" w:before="0" w:after="0"/>
        <w:jc w:val="right"/>
      </w:pPr>
      <w:r>
        <w:t>SARL ANGE-MARIE FLAUGNATTI</w:t>
      </w:r>
    </w:p>
    <w:p>
      <w:pPr>
        <w:spacing w:line="240" w:lineRule="auto" w:before="0" w:after="0"/>
        <w:jc w:val="right"/>
      </w:pPr>
      <w:r>
        <w:t>11 avenue Pierre Sémard Immeuble Le Cèdre</w:t>
      </w:r>
    </w:p>
    <w:p>
      <w:pPr>
        <w:spacing w:line="240" w:lineRule="auto" w:before="0" w:after="0"/>
        <w:jc w:val="right"/>
      </w:pPr>
      <w:r>
        <w:t>06130 GRASSE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Grasse et à Mougins, se distingue par son ancrage territorial au sein d'une région aux enjeux fonciers variés. Cette présence sur deux sites témoigne d'une capacité à intervenir sur des contextes diversifiés, qu'ils soient urbains ou ruraux, tout en maintenant une structure à taille humaine. Cette proximité avec les acteurs locaux et la maîtrise d'un territoire aux spécificités fortes constituent des piliers essentiels pour une pratique de qualité.</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