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AZUR FONCIER CONSEIL</w:t>
      </w:r>
    </w:p>
    <w:p>
      <w:pPr>
        <w:spacing w:line="240" w:lineRule="auto" w:before="0" w:after="0"/>
        <w:jc w:val="right"/>
      </w:pPr>
      <w:r>
        <w:t>60 avenue de Verdun</w:t>
      </w:r>
    </w:p>
    <w:p>
      <w:pPr>
        <w:spacing w:line="240" w:lineRule="auto" w:before="0" w:after="0"/>
        <w:jc w:val="right"/>
      </w:pPr>
      <w:r>
        <w:t>06800 CAGNES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conseil affirmée et une expertise ancrée dans les spécificités du territoire des Alpes-Maritimes. La prise en compte des enjeux de l'urbanisme et du foncier, alliée à une intégration marquée des technologies 3D, témoigne d'une volonté d'allier précision technologique et accompagnement stratégique. Cette capacité à répondre aux contraintes locales complexes par une maîtrise des outils de pointe et une vision globale du projet foncier constitue un environnement de travail particulièrement structurant.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