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KHORAXIA</w:t>
      </w:r>
    </w:p>
    <w:p>
      <w:pPr>
        <w:spacing w:line="240" w:lineRule="auto" w:before="0" w:after="0"/>
        <w:jc w:val="right"/>
      </w:pPr>
      <w:r>
        <w:t>455 promenade des Anglais Immeuble Horizon</w:t>
      </w:r>
    </w:p>
    <w:p>
      <w:pPr>
        <w:spacing w:line="240" w:lineRule="auto" w:before="0" w:after="0"/>
        <w:jc w:val="right"/>
      </w:pPr>
      <w:r>
        <w:t>06200 NICE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en pleine cohérence avec mon projet de formation et mon souhait de rejoindre une équipe professionnelle solide.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 au sein d'un cadre complexe.</w:t>
      </w:r>
    </w:p>
    <w:p>
      <w:pPr>
        <w:spacing w:line="276" w:lineRule="auto" w:before="0" w:after="160"/>
        <w:jc w:val="both"/>
      </w:pPr>
      <w:r>
        <w:t>Votre cabinet, implanté à Nice, s'inscrit dans un environnement urbain aux enjeux fonciers spécifiques. Cette implantation témoigne d'une volonté de proximité avec une clientèle diversifiée et d'une maîtrise nécessaire des particularités du territoire. La gestion de projets dans un tel contexte requiert une rigueur constante pour concilier efficacement les contraintes techniques et les spécificités réglementaires propres à votre zone d'intervention.</w:t>
      </w:r>
    </w:p>
    <w:p>
      <w:pPr>
        <w:spacing w:line="276" w:lineRule="auto" w:before="0" w:after="160"/>
        <w:jc w:val="both"/>
      </w:pPr>
      <w:r>
        <w:t>En m'adressant à la SARL KHORAXIA,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acquise lors de mes travaux sur les archives, sera un atout pour traiter des dossiers variés.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m'adaptant aux méthodes propres à votre cabinet.</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