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dirigeants de la SARL MF2H</w:t>
      </w:r>
    </w:p>
    <w:p>
      <w:pPr>
        <w:spacing w:line="240" w:lineRule="auto" w:before="0" w:after="0"/>
        <w:jc w:val="right"/>
      </w:pPr>
      <w:r>
        <w:t>397 chemin de la Plaine</w:t>
      </w:r>
    </w:p>
    <w:p>
      <w:pPr>
        <w:spacing w:line="240" w:lineRule="auto" w:before="0" w:after="0"/>
        <w:jc w:val="right"/>
      </w:pPr>
      <w:r>
        <w:t>06790 ASPREMONT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son implantation multi-sites couvrant des territoires variés, allant d'Aspremont à Saint-Martin-Vésubie et Saint-Étienne-de-Tinee. Cette présence sur plusieurs zones géographiques témoigne d'une capacité à intervenir sur des contextes environnementaux diversifiés, nécessitant une adaptation constante des méthodes de relevé et de traitement de la donnée foncière face aux spécificités de chaque territoire. Cette diversité géographique implique une expertise polyvalente pour répondre aux enjeux de chaque zone d'intervention.</w:t>
      </w:r>
    </w:p>
    <w:p>
      <w:pPr>
        <w:spacing w:line="276" w:lineRule="auto" w:before="0" w:after="160"/>
        <w:jc w:val="both"/>
      </w:pPr>
      <w:r>
        <w:t>Mon parcours universitaire de recherche m'a doté d'une solide culture de la donnée spatiale et d'une capacité d'analyse éprouvée face aux problématiques complexes. Je maîtrise les outils de traitement de données tels que les SIG, le scanner 3D et la programmation Python, ce qui me permet d'appréhender avec rigueur la modélisation des territoires. Mon objectif est de mettre cette force de production technique au service de vos opérations, tout en m'appuyant sur ma méthode de chercheur pour assimiler rapidement le cadre réglementaire et les spécificités du droit foncier.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