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Madame, Monsieur</w:t>
      </w:r>
    </w:p>
    <w:p>
      <w:pPr>
        <w:spacing w:line="240" w:lineRule="auto" w:before="0" w:after="0"/>
        <w:jc w:val="right"/>
      </w:pPr>
      <w:r>
        <w:t>SARL PENSA GEOTOPO</w:t>
      </w:r>
    </w:p>
    <w:p>
      <w:pPr>
        <w:spacing w:line="240" w:lineRule="auto" w:before="0" w:after="0"/>
        <w:jc w:val="right"/>
      </w:pPr>
      <w:r>
        <w:t>4 Avenue Edouard VII</w:t>
      </w:r>
    </w:p>
    <w:p>
      <w:pPr>
        <w:spacing w:line="240" w:lineRule="auto" w:before="0" w:after="0"/>
        <w:jc w:val="right"/>
      </w:pPr>
      <w:r>
        <w:t>06500 MENTON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je dépose aujourd'hui ma candidature avec l'ambition de m'investir pleinement au sein de votre cabinet.</w:t>
      </w:r>
    </w:p>
    <w:p>
      <w:pPr>
        <w:spacing w:line="276" w:lineRule="auto" w:before="0" w:after="160"/>
        <w:jc w:val="both"/>
      </w:pPr>
      <w:r>
        <w:t>Le métier de géomètre-expert correspond précisément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complexes pour sécuriser des projets de grande envergure, qu’il s’agisse de bornage, de division ou d’aménagement durable.</w:t>
      </w:r>
    </w:p>
    <w:p>
      <w:pPr>
        <w:spacing w:line="276" w:lineRule="auto" w:before="0" w:after="160"/>
        <w:jc w:val="both"/>
      </w:pPr>
      <w:r>
        <w:t>La SARL PENSA GEOTOPO se distingue par son ancrage local et sa maîtrise du cœur de métier du géomètre-expert. Cette expertise de proximité, alliée à une connaissance approfondie des spécificités foncières du territoire, constitue un environnement de travail rigoureux et cohérent. Le cabinet assure une continuité essentielle entre la technicité des relevés et la sécurisation juridique des projets pour une clientèle exigeante, garantissant une approche fiable et structurée.</w:t>
      </w:r>
    </w:p>
    <w:p>
      <w:pPr>
        <w:spacing w:line="276" w:lineRule="auto" w:before="0" w:after="160"/>
        <w:jc w:val="both"/>
      </w:pPr>
      <w:r>
        <w:t>Mon parcours universitaire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de données sur le terrain jusqu’à la restitution graphique. Ces semaines m’ont surtout permis de mesurer que les outils techniques ne prennent leur pleine valeur que lorsqu’ils viennent appuyer un raisonnement juridique précis.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