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SAS SEGC</w:t>
      </w:r>
    </w:p>
    <w:p>
      <w:pPr>
        <w:spacing w:line="240" w:lineRule="auto" w:before="0" w:after="0"/>
        <w:jc w:val="right"/>
      </w:pPr>
      <w:r>
        <w:t>44 avenue de la Colle</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tout en étant mobile selon vos besoins.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1983, témoigne d'une solide expérience et d'une connaissance approfondie du patrimoine foncier local. Cette longévité suggère une maîtrise confirmée des spécificités géographiques et juridiques du territoire de Cagnes-sur-Mer, ainsi qu'une capacité à traiter des dossiers complexes avec une expertise éprouvée. Votre ancrage historique constitue un cadre de travail structurant, où la continuité de l'expertise et la connaissance des archives locales garantissent la qualité des interventions en matière de bornage ou d'aménagement durable.</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technique et l'expertise fine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