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Jérôme CHAZALON</w:t>
      </w:r>
    </w:p>
    <w:p>
      <w:pPr>
        <w:spacing w:line="240" w:lineRule="auto" w:before="0" w:after="0"/>
        <w:jc w:val="right"/>
      </w:pPr>
      <w:r>
        <w:t>SCP Jérôme CHAZALON Géomètre Expert</w:t>
      </w:r>
    </w:p>
    <w:p>
      <w:pPr>
        <w:spacing w:line="240" w:lineRule="auto" w:before="0" w:after="0"/>
        <w:jc w:val="right"/>
      </w:pPr>
      <w:r>
        <w:t>8 Chemin de la petite Fontaine BP 39</w:t>
      </w:r>
    </w:p>
    <w:p>
      <w:pPr>
        <w:spacing w:line="240" w:lineRule="auto" w:before="0" w:after="0"/>
        <w:jc w:val="right"/>
      </w:pPr>
      <w:r>
        <w:t>06531 PEYMEINADE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CHAZALON,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implantation sur les communes de Le Cannet et de Peymeinade. Cette présence sur deux sites géographiques distincts témoigne d'une capacité d'adaptation aux spécificités locales, qu'elles soient liées à la densité urbaine ou aux problématiques foncières des zones rurales et de montagne. Cette diversité de territoires suggère une maîtrise globale des enjeux d'aménagement, alliant connaissance du terrain et gestion rigoureuse de dossiers variés.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(SIG, scanner 3D, programmation Python),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CHAZALON,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