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ARPENTEURS GEOMETRES</w:t>
      </w:r>
    </w:p>
    <w:p>
      <w:pPr>
        <w:spacing w:line="240" w:lineRule="auto" w:before="0" w:after="0"/>
        <w:jc w:val="right"/>
      </w:pPr>
      <w:r>
        <w:t>1 Impasse Trianon</w:t>
      </w:r>
    </w:p>
    <w:p>
      <w:pPr>
        <w:spacing w:line="240" w:lineRule="auto" w:before="0" w:after="0"/>
        <w:jc w:val="right"/>
      </w:pPr>
      <w:r>
        <w:t>06600 ANTIBES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maîtrise affirmée du cœur de métier et une présence ancrée localement à Antibes. Cette expertise traditionnelle, alliée à une approche de proximité avec vos clients, garantit une sécurisation rigoureuse des opérations foncières. En privilégiant la qualité technique et la précision du conseil, votre structure offre un cadre de travail stable où la transmission des savoir-faire essentiels est primordiale. Cette approche, centrée sur la fiabilité des mesures et la clarté juridique, constitue un environnement idéal pour appréhender les réalités du terrain.</w:t>
      </w:r>
    </w:p>
    <w:p>
      <w:pPr>
        <w:spacing w:line="276" w:lineRule="auto" w:before="0" w:after="160"/>
        <w:jc w:val="both"/>
      </w:pPr>
      <w:r>
        <w:t>En m'adressant à la SELARL ARPENTEURS GEOMETRES,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