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Michel Fernand Georges Lugherini</w:t>
      </w:r>
    </w:p>
    <w:p>
      <w:pPr>
        <w:spacing w:line="240" w:lineRule="auto" w:before="0" w:after="0"/>
        <w:jc w:val="right"/>
      </w:pPr>
      <w:r>
        <w:t>SELARL Cabinet LUGHERINI GE</w:t>
      </w:r>
    </w:p>
    <w:p>
      <w:pPr>
        <w:spacing w:line="240" w:lineRule="auto" w:before="0" w:after="0"/>
        <w:jc w:val="right"/>
      </w:pPr>
      <w:r>
        <w:t>40 Chemin du Pilon</w:t>
      </w:r>
    </w:p>
    <w:p>
      <w:pPr>
        <w:spacing w:line="240" w:lineRule="auto" w:before="0" w:after="0"/>
        <w:jc w:val="right"/>
      </w:pPr>
      <w:r>
        <w:t>06390 CONTES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Lugherini,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Le cabinet LUGHERINI GE présente une implantation structurée sur deux sites au sein du Var, couvrant ainsi une diversité de territoires. Cette présence multi-sites témoigne d'une capacité à intervenir sur des problématiques variées, allant du tissu urbain aux zones rurales. Votre structure établie depuis 2002 suggère une organisation solide, capable d'offrir un cadre de travail structuré pour l'apprentissage des métiers du géomètre-expert.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Lugherini,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