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Alban Minot</w:t>
      </w:r>
    </w:p>
    <w:p>
      <w:pPr>
        <w:spacing w:line="240" w:lineRule="auto" w:before="0" w:after="0"/>
        <w:jc w:val="right"/>
      </w:pPr>
      <w:r>
        <w:t>47 Avenue des Ribas</w:t>
      </w:r>
    </w:p>
    <w:p>
      <w:pPr>
        <w:spacing w:line="240" w:lineRule="auto" w:before="0" w:after="0"/>
        <w:jc w:val="right"/>
      </w:pPr>
      <w:r>
        <w:t>13770 VENELLES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Minot,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depuis 2020, incarne une dimension humaine et une proximité essentielle au bon fonctionnement des opérations foncières. Sa taille intermédiaire permet une approche rigoureuse du cœur du métier, alliant réactivité et maîtrise technique. Cette organisation offre un cadre propice à une gestion de proximité des dossiers, garantissant une qualité de conseil et une précision constante dans les interventions sur le territoire.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Minot,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