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PIERRE Rémi</w:t>
      </w:r>
    </w:p>
    <w:p>
      <w:pPr>
        <w:spacing w:line="240" w:lineRule="auto" w:before="0" w:after="0"/>
        <w:jc w:val="right"/>
      </w:pPr>
      <w:r>
        <w:t>24 rue des Bernardines</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sincère de m'investir pleinement au sein de votre structure dynamique et innovante.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historiques, les réalités matérielles et les règles d’urbanisme pour sécuriser des projets complexes, qu’il s’agisse de bornage, de division ou d’aménagement durable.</w:t>
      </w:r>
    </w:p>
    <w:p>
      <w:pPr>
        <w:spacing w:line="276" w:lineRule="auto" w:before="0" w:after="160"/>
        <w:jc w:val="both"/>
      </w:pPr>
      <w:r>
        <w:t>Votre cabinet se distingue par une spécialisation affirmée dans les technologies 3D de haute précision, un domaine où la rigueur du relevé rencontre l'innovation numérique. Cette orientation témoigne d'une volonté d'intégrer des outils de pointe pour répondre aux exigences croissantes des projets contemporains. L'adoption de ces méthodes avancées de modélisation et de capture de données constitue un levier essentiel pour la modernisation des pratiques géométriques, garantissant une restitution fidèle et une gestion optimisée du foncier et du patrimoine.</w:t>
      </w:r>
    </w:p>
    <w:p>
      <w:pPr>
        <w:spacing w:line="276" w:lineRule="auto" w:before="0" w:after="160"/>
        <w:jc w:val="both"/>
      </w:pPr>
      <w:r>
        <w:t>Mon parcours universitaire m'a doté d'une forte culture de la donnée spatiale, de la topographie à la modélisation complexe, tout en développant une solide capacité d'analyse face aux problématiques territoriales complexes. Mon objectif est de mettre cette force de production technique au service de vos opérations d'aménagement, tout en m'appuyant sur ma méthode de chercheur rigoureuse pour assimiler avec rigueur le cadre réglementaire de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détaillée en bureau d'études.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façon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