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Salis</w:t>
      </w:r>
    </w:p>
    <w:p>
      <w:pPr>
        <w:spacing w:line="240" w:lineRule="auto" w:before="0" w:after="0"/>
        <w:jc w:val="right"/>
      </w:pPr>
      <w:r>
        <w:t>EURL Cabinet SALIS</w:t>
      </w:r>
    </w:p>
    <w:p>
      <w:pPr>
        <w:spacing w:line="240" w:lineRule="auto" w:before="0" w:after="0"/>
        <w:jc w:val="right"/>
      </w:pPr>
      <w:r>
        <w:t>19 route de Puyloubier</w:t>
      </w:r>
    </w:p>
    <w:p>
      <w:pPr>
        <w:spacing w:line="240" w:lineRule="auto" w:before="0" w:after="0"/>
        <w:jc w:val="right"/>
      </w:pPr>
      <w:r>
        <w:t>13530 TRETS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L'EURL Cabinet SALIS se distingue par une structure établie qui assure une expertise solide et une approche de proximité avec ses clients. Cette organisation permet de garantir une maîtrise du cœur de métier tout en offrant une réactivité nécessaire à la gestion des problématiques foncières locales. Votre ancrage territorial témoigne d'une volonté de pérenniser un accompagnement de qualité, fondé sur la précision technique et la connaissance fine des enjeux de proximité.</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 pour soutenir vos projets.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Salis,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