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 Legal</w:t>
      </w:r>
    </w:p>
    <w:p>
      <w:pPr>
        <w:spacing w:line="240" w:lineRule="auto" w:before="0" w:after="0"/>
        <w:jc w:val="right"/>
      </w:pPr>
      <w:r>
        <w:t>SARL Cabinet LEGAL</w:t>
      </w:r>
    </w:p>
    <w:p>
      <w:pPr>
        <w:spacing w:line="240" w:lineRule="auto" w:before="0" w:after="0"/>
        <w:jc w:val="right"/>
      </w:pPr>
      <w:r>
        <w:t>338 route de la Sainte-Baume</w:t>
      </w:r>
    </w:p>
    <w:p>
      <w:pPr>
        <w:spacing w:before="0" w:after="0" w:line="240" w:lineRule="auto"/>
      </w:pPr>
    </w:p>
    <w:p>
      <w:pPr>
        <w:spacing w:before="0" w:after="0" w:line="240" w:lineRule="auto"/>
      </w:pPr>
    </w:p>
    <w:p>
      <w:pPr>
        <w:spacing w:line="276" w:lineRule="auto" w:before="0" w:after="0"/>
        <w:jc w:val="both"/>
      </w:pPr>
      <w:r>
        <w:t>13390 AURIOL</w:t>
      </w:r>
    </w:p>
    <w:p>
      <w:pPr>
        <w:spacing w:before="0" w:after="0" w:line="276" w:lineRule="auto"/>
      </w:pP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 Cette capacité à traduire une réalité physique en sécurité juridique définit pour moi l'essence de la profession.</w:t>
      </w:r>
    </w:p>
    <w:p>
      <w:pPr>
        <w:spacing w:line="276" w:lineRule="auto" w:before="0" w:after="160"/>
        <w:jc w:val="both"/>
      </w:pPr>
      <w:r>
        <w:t>Le Cabinet LEGAL se distingue par une structure à taille humaine, établie depuis 2005 à Auriol. Cette pérennité témoigne d'une maîtrise solide du cœur de métier et d'une relation de proximité avec une clientèle qui recherche une expertise fiable. Votre positionnement permet d'assurer une qualité de conseil constante, alliant la stabilité d'un cabinet expérimenté à la réactivité nécessaire pour répondre aux problématiques foncières locales et aux enjeux de développement du territoire.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Legal,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