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cabinet SELARL CEDRIC PREAU</w:t>
      </w:r>
    </w:p>
    <w:p>
      <w:pPr>
        <w:spacing w:line="240" w:lineRule="auto" w:before="0" w:after="0"/>
        <w:jc w:val="right"/>
      </w:pPr>
      <w:r>
        <w:t>9 rue des Bruyères</w:t>
      </w:r>
    </w:p>
    <w:p>
      <w:pPr>
        <w:spacing w:line="240" w:lineRule="auto" w:before="0" w:after="0"/>
        <w:jc w:val="right"/>
      </w:pPr>
      <w:r>
        <w:t>13700 MARIGNANE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par son organisation en SELARL et son implantation à Marignane, incarne une structure de proximité où la maîtrise du cœur du métier est primordiale. Cette approche, centrée sur la qualité du conseil et la précision des prestations de géomètrie, offre un environnement propice à une pratique exigeante et rigoureuse de la profession. La gestion directe des problématiques foncières locales souligne une volonté de sécurisation durable des droits de propriété, élément essentiel à la cohérence et à la structuration du territoire.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