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Martial Claret</w:t>
      </w:r>
    </w:p>
    <w:p>
      <w:pPr>
        <w:spacing w:line="240" w:lineRule="auto" w:before="0" w:after="0"/>
        <w:jc w:val="right"/>
      </w:pPr>
      <w:r>
        <w:t>Cabinet CLARET Martial</w:t>
      </w:r>
    </w:p>
    <w:p>
      <w:pPr>
        <w:spacing w:line="240" w:lineRule="auto" w:before="0" w:after="0"/>
        <w:jc w:val="right"/>
      </w:pPr>
      <w:r>
        <w:t>5 av Julien Cazelles</w:t>
      </w:r>
    </w:p>
    <w:p>
      <w:pPr>
        <w:spacing w:line="240" w:lineRule="auto" w:before="0" w:after="0"/>
        <w:jc w:val="right"/>
      </w:pPr>
      <w:r>
        <w:t>83300 DRAGUIGNAN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Claret,</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je suis désormais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et avec sérieux au sein d'une structure établie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de grande envergure, qu’il s’agisse de bornage, de division de parcelles ou d’aménagement durable du territoire.</w:t>
      </w:r>
    </w:p>
    <w:p>
      <w:pPr>
        <w:spacing w:line="276" w:lineRule="auto" w:before="0" w:after="160"/>
        <w:jc w:val="both"/>
      </w:pPr>
      <w:r>
        <w:t>Votre cabinet, établi depuis 1994, se distingue par une présence ancrée sur le territoire draguignanais, avec des implantations à Draguignan et Lorgues. Cette structure permet une couverture géographique pertinente, offrant une diversité de contextes d'intervention allant de l'urbain au rural, ce qui témoigne d'une grande polyvalence technique. La dimension humaine de votre organisation, avec une équipe de dimension intermédiaire, garantit une approche de proximité et une transmission de savoir-faire de qualité au sein d'une structure à taille humaine.</w:t>
      </w:r>
    </w:p>
    <w:p>
      <w:pPr>
        <w:spacing w:line="276" w:lineRule="auto" w:before="0" w:after="160"/>
        <w:jc w:val="both"/>
      </w:pPr>
      <w:r>
        <w:t>Mon parcours universitaire de recherche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mes compétences en SIG et en traitement de données pour optimiser vos flux de travail.</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Claret,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