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Christiane Rigaud (Chappel)</w:t>
      </w:r>
    </w:p>
    <w:p>
      <w:pPr>
        <w:spacing w:line="240" w:lineRule="auto" w:before="0" w:after="0"/>
        <w:jc w:val="right"/>
      </w:pPr>
      <w:r>
        <w:t>SARL AMAYENC RIGUAUD &amp; ASSOCIES</w:t>
      </w:r>
    </w:p>
    <w:p>
      <w:pPr>
        <w:spacing w:line="240" w:lineRule="auto" w:before="0" w:after="0"/>
        <w:jc w:val="right"/>
      </w:pPr>
      <w:r>
        <w:t>59 boulevard Hippolyte Mège Mouries</w:t>
      </w:r>
    </w:p>
    <w:p>
      <w:pPr>
        <w:spacing w:line="240" w:lineRule="auto" w:before="0" w:after="0"/>
        <w:jc w:val="right"/>
      </w:pPr>
      <w:r>
        <w:t>83300 DRAGUIGNAN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de votre cabinet, implantée sur plusieurs sites à Draguignan, Fréjus et Fayence, témoigne d'une présence solide et d'une couverture territoriale étendue. Cette organisation multi-sites suggère une grande diversité de contextes d'intervention, allant des enjeux d'aménagement urbain aux spécificités des zones rurales, impliquant une gestion agile des problématiques foncières propres à chaque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