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SARL CABINET ISABELLE LIEUTAUD</w:t>
      </w:r>
    </w:p>
    <w:p>
      <w:pPr>
        <w:spacing w:line="240" w:lineRule="auto" w:before="0" w:after="0"/>
        <w:jc w:val="right"/>
      </w:pPr>
      <w:r>
        <w:t>2012 chemin de la Piole Paul Venel</w:t>
      </w:r>
    </w:p>
    <w:p>
      <w:pPr>
        <w:spacing w:line="240" w:lineRule="auto" w:before="0" w:after="0"/>
        <w:jc w:val="right"/>
      </w:pPr>
      <w:r>
        <w:t>83110 SANARY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de bornage, de division ou d’aménagement durable.</w:t>
      </w:r>
    </w:p>
    <w:p>
      <w:pPr>
        <w:spacing w:line="276" w:lineRule="auto" w:before="0" w:after="160"/>
        <w:jc w:val="both"/>
      </w:pPr>
      <w:r>
        <w:t>Votre cabinet, par son ancrage local à Sanary-sur-Mer et son approche personnalisée, incarne une maîtrise du cœur de métier essentielle pour la sécurisation foncière. La dimension de proximité que vous entretenez avec vos clients permet une gestion rigoureuse des dossiers, où la précision technique et la connaissance du territoire sont mises au service d'une relation de confiance durable. Cette structure représente un environnement propice à la gestion de dossiers complexes.</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Madame, Monsieur,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