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Cedric Landon</w:t>
      </w:r>
    </w:p>
    <w:p>
      <w:pPr>
        <w:spacing w:line="240" w:lineRule="auto" w:before="0" w:after="0"/>
        <w:jc w:val="right"/>
      </w:pPr>
      <w:r>
        <w:t>SARL EXPERTGEO SAINTE BAUME</w:t>
      </w:r>
    </w:p>
    <w:p>
      <w:pPr>
        <w:spacing w:line="240" w:lineRule="auto" w:before="0" w:after="0"/>
        <w:jc w:val="right"/>
      </w:pPr>
      <w:r>
        <w:t>rue de l'Hôtel de Ville, 83470 ST MAXIMIN LA STE BAUME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dynamique et à taille humaine.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par sa structure à taille humaine et son implantation au sein du réseau de Sainte-Baume, témoigne d'une approche de proximité et d'une maîtrise approfondie du cœur du métier. Cette organisation permet une gestion agile des dossiers et une attention particulière portée aux réalités locales, garantissant une relation de confiance avec une clientèle exigeante sur la précision des actes fonciers.</w:t>
      </w:r>
    </w:p>
    <w:p>
      <w:pPr>
        <w:spacing w:line="276" w:lineRule="auto" w:before="0" w:after="160"/>
        <w:jc w:val="both"/>
      </w:pPr>
      <w:r>
        <w:t>En m'adressant à votre structure, je recherche un cadre au sein duquel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d'aménagement, de bornage ou de division,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