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SASU CGE</w:t>
      </w:r>
    </w:p>
    <w:p>
      <w:pPr>
        <w:spacing w:line="240" w:lineRule="auto" w:before="0" w:after="0"/>
        <w:jc w:val="right"/>
      </w:pPr>
      <w:r>
        <w:t>12 Hameau du Moulin 83 square Jean Moulin</w:t>
      </w:r>
    </w:p>
    <w:p>
      <w:pPr>
        <w:spacing w:line="240" w:lineRule="auto" w:before="0" w:after="0"/>
        <w:jc w:val="right"/>
      </w:pPr>
      <w:r>
        <w:t>83310 COGOLIN</w:t>
      </w:r>
    </w:p>
    <w:p>
      <w:pPr>
        <w:spacing w:line="240" w:lineRule="auto" w:before="0" w:after="0"/>
        <w:jc w:val="right"/>
      </w:pPr>
      <w:r>
        <w:t>À l’attention de Monsieur Frank Gerlach</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Gerlach,</w:t>
      </w:r>
    </w:p>
    <w:p>
      <w:pPr>
        <w:spacing w:line="276" w:lineRule="auto" w:before="0" w:after="160"/>
        <w:jc w:val="both"/>
      </w:pPr>
      <w:r>
        <w:t>Actuellement engagé dans une reconversion professionnelle vers le métier de géomètre-expert, je prépare ma candidature à la session DPLG d'octobre 2026. Éligible au titre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globale de l’accompagnement des projets fonciers et immobiliers, de l'étude préalable à la réalisation des travaux. Cette polyvalence, qui intègre aussi bien la gestion des copropriétés que l'assistance aux marchés publics, témoigne d'une capacité notable à naviguer dans des cadres réglementaires complexes. Votre engagement à assurer une connaissance précise du terrain, tant pour des démarches privées que publiques, reflète une volonté de sécuriser durablement les projets par une expertise transversale, alliant rigueur technique et conseil en urbanisme.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Gerlach,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