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Bailleul</w:t>
      </w:r>
    </w:p>
    <w:p>
      <w:pPr>
        <w:spacing w:line="240" w:lineRule="auto" w:before="0" w:after="0"/>
        <w:jc w:val="right"/>
      </w:pPr>
      <w:r>
        <w:t>SELARL BAILLEUL-GATTO</w:t>
      </w:r>
    </w:p>
    <w:p>
      <w:pPr>
        <w:spacing w:line="240" w:lineRule="auto" w:before="0" w:after="0"/>
        <w:jc w:val="right"/>
      </w:pPr>
      <w:r>
        <w:t>39 avenue Pothonier</w:t>
      </w:r>
    </w:p>
    <w:p>
      <w:pPr>
        <w:spacing w:line="240" w:lineRule="auto" w:before="0" w:after="0"/>
        <w:jc w:val="right"/>
      </w:pPr>
      <w:r>
        <w:t>83390 CUERS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Bailleul,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favorisant une maîtrise approfondie du cœur de métier et une proximité essentielle avec la clientèle locale. La présence de vos implantations à Toulon et à Cuers témoigne d'un ancrage territorial solide, permettant d'assurer un suivi rigoureux des projets fonciers sur des zones géographiques variées. Cette organisation semble privilégier la qualité du conseil et la précision technique au sein d'un environnement de travail stable et structuré depuis 2010.</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Bailleul,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