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Cabinet Philippe ABADIE</w:t>
      </w:r>
    </w:p>
    <w:p>
      <w:pPr>
        <w:spacing w:line="240" w:lineRule="auto" w:before="0" w:after="0"/>
        <w:jc w:val="right"/>
      </w:pPr>
      <w:r>
        <w:t>17 Rue Arnaud Beltrame</w:t>
      </w:r>
    </w:p>
    <w:p>
      <w:pPr>
        <w:spacing w:line="240" w:lineRule="auto" w:before="0" w:after="0"/>
        <w:jc w:val="right"/>
      </w:pPr>
      <w:r>
        <w:t>83190 OLLIOULES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ancrée dans la maîtrise des fondamentaux du métier de géomètre-expert. Cette expertise de proximité, centrée sur le cœur de métier, garantit une sécurisation rigoureuse des opérations foncières pour les acteurs locaux. La qualité de vos prestations témoigne d'un engagement constant envers la précision technique et la fiabilité des données, des valeurs essentielles pour assurer la pérennité des projets d'aménagement et de propriété.</w:t>
      </w:r>
    </w:p>
    <w:p>
      <w:pPr>
        <w:spacing w:line="276" w:lineRule="auto" w:before="0" w:after="160"/>
        <w:jc w:val="both"/>
      </w:pPr>
      <w:r>
        <w:t>Mon parcours m'a doté d'une forte culture de la donnée spatiale (SIG,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