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Claude Marie Malenfer</w:t>
      </w:r>
    </w:p>
    <w:p>
      <w:pPr>
        <w:spacing w:line="240" w:lineRule="auto" w:before="0" w:after="0"/>
        <w:jc w:val="right"/>
      </w:pPr>
      <w:r>
        <w:t>SELAS GEXPERTISE CONSEIL</w:t>
      </w:r>
    </w:p>
    <w:p>
      <w:pPr>
        <w:spacing w:line="240" w:lineRule="auto" w:before="0" w:after="0"/>
        <w:jc w:val="right"/>
      </w:pPr>
      <w:r>
        <w:t>183 Avenue de Rome</w:t>
      </w:r>
    </w:p>
    <w:p>
      <w:pPr>
        <w:spacing w:line="240" w:lineRule="auto" w:before="0" w:after="0"/>
        <w:jc w:val="right"/>
      </w:pPr>
      <w:r>
        <w:t>83500 LA SEYNE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Malenfer,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pragmatique de la donnée spatiale, où la précision technique est systématiquement mise au service d'une finalité concrète pour le client. En plaçant l'innovation au cœur de vos ingénieries dédiées à la topographie, à la construction et à l'immobilier, vous anticipez les enjeux majeurs du secteur, tels que la RE2020 et la gestion de l'impact carbone. Cette volonté de valoriser durablement les actifs tout au long de leur cycle de vie, tout en intégrant les nouveaux écosystèmes digitaux comme le BIM, témoigne d'une vision stratégique et d'une maîtrise des évolutions réglementaires.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Malenfer,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