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Fautrelle</w:t>
      </w:r>
    </w:p>
    <w:p>
      <w:pPr>
        <w:spacing w:line="240" w:lineRule="auto" w:before="0" w:after="0"/>
        <w:jc w:val="right"/>
      </w:pPr>
      <w:r>
        <w:t>SELARL Cabinet GRIMONT</w:t>
      </w:r>
    </w:p>
    <w:p>
      <w:pPr>
        <w:spacing w:line="240" w:lineRule="auto" w:before="0" w:after="0"/>
        <w:jc w:val="right"/>
      </w:pPr>
      <w:r>
        <w:t>97 avenue Pierre Semard</w:t>
      </w:r>
    </w:p>
    <w:p>
      <w:pPr>
        <w:spacing w:line="240" w:lineRule="auto" w:before="0" w:after="0"/>
        <w:jc w:val="right"/>
      </w:pPr>
      <w:r>
        <w:t>84200 CARPENTRAS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Fautrelle,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GRIMONT se distingue par une structure à taille humaine, permettant une approche de proximité et une maîtrise rigoureuse du cœur du métier. Votre implantation à Carpentras depuis 2013 témoigne d'une assise solide et d'une connaissance approfondie du territoire local. Cette dimension artisanale, alliée à une gestion maîtrisée des dossiers, offre un cadre idéal pour un apprentissage de qualité, où la précision technique et la relation client sont placées au centre des préoccupations.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sensibilité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Fautrelle,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