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Damien Lavorini</w:t>
      </w:r>
    </w:p>
    <w:p>
      <w:pPr>
        <w:spacing w:line="240" w:lineRule="auto" w:before="0" w:after="0"/>
        <w:jc w:val="right"/>
      </w:pPr>
      <w:r>
        <w:t>SELARL de Géomètres-experts WILLEMS LAVORINI</w:t>
      </w:r>
    </w:p>
    <w:p>
      <w:pPr>
        <w:spacing w:line="240" w:lineRule="auto" w:before="0" w:after="0"/>
        <w:jc w:val="right"/>
      </w:pPr>
      <w:r>
        <w:t>19 rue Saint-Clément Résidence Ste Eutrope</w:t>
      </w:r>
    </w:p>
    <w:p>
      <w:pPr>
        <w:spacing w:line="240" w:lineRule="auto" w:before="0" w:after="0"/>
        <w:jc w:val="right"/>
      </w:pPr>
      <w:r>
        <w:t>84100 ORANGE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Lavorini,</w:t>
      </w:r>
    </w:p>
    <w:p>
      <w:pPr>
        <w:spacing w:line="276" w:lineRule="auto" w:before="0" w:after="160"/>
        <w:jc w:val="both"/>
      </w:pPr>
      <w:r>
        <w:t>Actuellement engagé dans une reconversion professionnelle vers le métier de géomètre-expert, je prépare ma candidature à la session DPLG d'octobre 2026. L'Ordre ayant confirmé l'éligibilité de mon parcours, je suis à la recherche d'un poste de collaborateur qui constituera le cadre de mon stage professionnel de deux ans. À l’issue d’un stage d’observation très instructif au sein du cabinet de Monsieur Pascal Vailles à Muret, je dépose aujourd'hui ma candidature souhaitant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 confronter les archives, les réalités matérielles et les règles complexes d’urbanisme pour sécuriser des projets de bornage, de division ou d’aménagement durable.</w:t>
      </w:r>
    </w:p>
    <w:p>
      <w:pPr>
        <w:spacing w:line="276" w:lineRule="auto" w:before="0" w:after="160"/>
        <w:jc w:val="both"/>
      </w:pPr>
      <w:r>
        <w:t>Votre cabinet, implanté sur les secteurs d'Orange et de Vaison-la-Romaine, témoigne d'une présence sur des territoires variés. Cette double implantation suggère une diversité de problématiques, tant en milieu urbain qu'en zone rurale, exigeant une polyvalence constante. La dimension humaine de votre structure garantit une approche de proximité et une transmission des savoirs essentielle.</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à la restitution graphique. Ces semaines m’ont permis de mesurer que les outils techniques ne prennent leur pleine valeur que lorsqu’ils viennent appuyer un raisonnement juridique. Conscient que la maîtrise opérationnelle s’acquiert par la pratique, je suis motivé pour apporter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Lavorini,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