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Jacques BLANC</w:t>
      </w:r>
    </w:p>
    <w:p>
      <w:pPr>
        <w:spacing w:line="240" w:lineRule="auto" w:before="0" w:after="0"/>
        <w:jc w:val="right"/>
      </w:pPr>
      <w:r>
        <w:t>SELARL Jacques BLANC et Associés</w:t>
      </w:r>
    </w:p>
    <w:p>
      <w:pPr>
        <w:spacing w:line="240" w:lineRule="auto" w:before="0" w:after="0"/>
        <w:jc w:val="right"/>
      </w:pPr>
      <w:r>
        <w:t>2 place Campana</w:t>
      </w:r>
    </w:p>
    <w:p>
      <w:pPr>
        <w:spacing w:line="240" w:lineRule="auto" w:before="0" w:after="0"/>
        <w:jc w:val="right"/>
      </w:pPr>
      <w:r>
        <w:t>84000 AVIGNON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témoigne d’une volonté manifeste de modernisation et d’une recherche constante d’efficacité opérationnelle. La mise en place d’un espace client dédié souligne une volonté de structurer le suivi des dossiers pour vos partenaires. Par ailleurs, votre démarche actuelle de refonte numérique et votre communication bilingue reflètent une structure dynamique, attentive à l’évolution des outils de communication et ouverte sur des enjeux de gestion de projets complexes. Cette approche, alliant rigueur organisationnelle et capacité d'adaptation, définit une structure en mouvement.</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notamment via les SIG et la programmation. Mon objectif est de mettre cette force de production technique au service de vos opérations d'aménagement,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Blanc,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