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Plantier</w:t>
      </w:r>
    </w:p>
    <w:p>
      <w:pPr>
        <w:spacing w:line="240" w:lineRule="auto" w:before="0" w:after="0"/>
        <w:jc w:val="right"/>
      </w:pPr>
      <w:r>
        <w:t>Cabinet PLANTIER Patrick</w:t>
      </w:r>
    </w:p>
    <w:p>
      <w:pPr>
        <w:spacing w:line="240" w:lineRule="auto" w:before="0" w:after="0"/>
        <w:jc w:val="right"/>
      </w:pPr>
      <w:r>
        <w:t>1011 Route Nationale</w:t>
      </w:r>
    </w:p>
    <w:p>
      <w:pPr>
        <w:spacing w:line="240" w:lineRule="auto" w:before="0" w:after="0"/>
        <w:jc w:val="right"/>
      </w:pPr>
      <w:r>
        <w:t>01120 LA BOISSE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Plantier,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pour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depuis 2000, témoigne d'une solide assise et d'une maîtrise confirmée des métiers de la géomatique et du foncier. La dimension humaine de votre structure, forte de 6 à 9 collaborateurs, permet d'allier une expertise pointue aux réalités de proximité, garantissant un accompagnement de qualité. Cette stabilité et le savoir-faire accumulé constituent un environnement propice à une transmission de compétences rigoureuse.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Plantier,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