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Véronique Chantal Chatron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GSM SAVOYET-CHATRON se distingue par une présence historique forte, assurant un savoir-faire constant depuis 1967. Son implantation stratégique au carrefour de quatre départements et son maillage territorial témoignent d'une maîtrise approfondie des enjeux locaux. L'approche globale de vos équipes pluridisciplinaires, alliant expertise technique — notamment en scanner laser et topographie — et conception de cadres de vie durables, illustre une volonté de réponse complète aux problématiques foncières et immobilières des particuliers comme des collectivités, tout en plaçant l'humanisme au cœur de la relation client.</w:t>
      </w:r>
    </w:p>
    <w:p>
      <w:pPr>
        <w:spacing w:line="276" w:lineRule="auto" w:before="0" w:after="160"/>
        <w:jc w:val="both"/>
      </w:pPr>
      <w:r>
        <w:t>Mon parcours universitaire de recherche m'a doté d'une forte culture de la donnée spatiale et d'une solide capacité d'analyse face aux problématiques complexes. Mon objectif est de mettre cette rigueur méthodologique au service de vos opérations, tout en m'appuyant sur mes compétences en synthèse pour assimiler rapidement le cadre réglementaire de la profession. Je conçois ce stage comme un véritable échange entre la précision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