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COSMOS</w:t>
      </w:r>
    </w:p>
    <w:p>
      <w:pPr>
        <w:spacing w:line="240" w:lineRule="auto" w:before="0" w:after="0"/>
        <w:jc w:val="right"/>
      </w:pPr>
      <w:r>
        <w:t>772 route de Lyon Les Mouchettes</w:t>
      </w:r>
    </w:p>
    <w:p>
      <w:pPr>
        <w:spacing w:line="240" w:lineRule="auto" w:before="0" w:after="0"/>
        <w:jc w:val="right"/>
      </w:pPr>
      <w:r>
        <w:t>01601 TREVOUX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 et dynamique.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COSMOS se distingue par son ancrage territorial solide et sa présence multi-sites à Trevoux, Villars les Dombes, Meximieux, Lagnieu et Beaujeu. Cette implantation géographique étendue témoigne d'une capacité à intervenir sur une diversité de contextes, qu'ils soient urbains, ruraux ou industriels. Cette polyvalence implique une maîtrise fine des spécificités locales et une adaptation constante aux enjeux propres à chaque territoire, garantissant une approche globale et contextualisée des problématiques foncières liées à l'aménagement et à la gestion du domaine privé.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