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w:t>
      </w:r>
    </w:p>
    <w:p>
      <w:pPr>
        <w:spacing w:line="240" w:lineRule="auto" w:before="0" w:after="0"/>
        <w:jc w:val="right"/>
      </w:pPr>
      <w:r>
        <w:t>11 rue Alfred de Vigny</w:t>
      </w:r>
    </w:p>
    <w:p>
      <w:pPr>
        <w:spacing w:line="240" w:lineRule="auto" w:before="0" w:after="0"/>
        <w:jc w:val="right"/>
      </w:pPr>
      <w:r>
        <w:t>03100 MONTLUCON</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la session DPLG d'octobre 2026. L'Ordre m'ayant confirmé l'éligibilité de mon parcours, je recherche un poste de collaborateur pour mon stage professionnel de deux ans. À la suite d’un stage d’observation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porté par une équipe plurielle à Montluçon, incarne une structure ancrée dans le cœur du métier. La diversité des intervenants au sein de votre organisation témoigne d'une volonté de maîtrise technique et de proximité avec les acteurs locaux. Cette approche, alliant expertise plurielle et connaissance fine des problématiques territoriales, constitue un environnement structuré, propice à une transmission de savoir-faire de qualité et à une gestion rigoureuse des dossiers d'aménagement.</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 où la précision du relevé nourrit la pertinence du conseil.</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