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AXV GEOMETRES-EXPERTS SELARL</w:t>
      </w:r>
    </w:p>
    <w:p>
      <w:pPr>
        <w:spacing w:line="240" w:lineRule="auto" w:before="0" w:after="0"/>
        <w:jc w:val="right"/>
      </w:pPr>
      <w:r>
        <w:t>10 Bd Alpes Provence</w:t>
      </w:r>
    </w:p>
    <w:p>
      <w:pPr>
        <w:spacing w:line="240" w:lineRule="auto" w:before="0" w:after="0"/>
        <w:jc w:val="right"/>
      </w:pPr>
      <w:r>
        <w:t>26300 BOURG DE PEAGE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Suite à 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AXV GEOMETRES-EXPERTS SELARL se distingue par son ancrage local à Bourg de Péage et sa maîtrise du cœur de métier. Votre structure privilégie une approche de proximité, essentielle pour accompagner les acteurs du territoire dans la sécurisation de leur foncier. Cette expertise, alliée à une connaissance fine des enjeux locaux, garantit une approche rigoureuse et une qualité de service constante pour vos clients.</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jusqu’à la restitution graphique. Ces semaines m’ont surtout permis de mesurer que les outils techniques ne prennent leur pleine valeur que lorsqu’ils viennent appuyer un raisonnement juridique. Conscient que la maîtrise opérationnelle s’acquiert par la pratique,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