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Calypso Plasse</w:t>
      </w:r>
    </w:p>
    <w:p>
      <w:pPr>
        <w:spacing w:line="240" w:lineRule="auto" w:before="0" w:after="0"/>
        <w:jc w:val="right"/>
      </w:pPr>
      <w:r>
        <w:t>Calypso PLASSE et Associés SELAS de Géomètres Experts</w:t>
      </w:r>
    </w:p>
    <w:p>
      <w:pPr>
        <w:spacing w:line="240" w:lineRule="auto" w:before="0" w:after="0"/>
        <w:jc w:val="right"/>
      </w:pPr>
      <w:r>
        <w:t>451 route de Chabeuil</w:t>
      </w:r>
    </w:p>
    <w:p>
      <w:pPr>
        <w:spacing w:line="240" w:lineRule="auto" w:before="0" w:after="0"/>
        <w:jc w:val="right"/>
      </w:pPr>
      <w:r>
        <w:t>26000 VALENCE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vers le métier de géomètre-expert, je préparerai le diplôme DPLG en octobre 2026. L'Ordre ayant confirmé l'éligibilité de mon parcours, je recherche un poste de collaborateur pour effectuer mon stage professionnel de deux ans. Suite à un stage d’observation instructif au sein du cabinet de Monsieur Pascal Vailles à Muret, je sollicite aujourd'hui votre structure dynamique pour m'investir pleinement dans cette nouvelle carrière.</w:t>
      </w:r>
    </w:p>
    <w:p>
      <w:pPr>
        <w:spacing w:line="276" w:lineRule="auto" w:before="0" w:after="160"/>
        <w:jc w:val="both"/>
      </w:pPr>
      <w:r>
        <w:t>Le métier de géomètre-expert répond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La création récente du cabinet Calypso PLASSE et Associés témoigne d'une volonté de structurer une offre de services dynamique sur le territoire de Valence. En tant que structure nouvelle, vous portez une vision actuelle des enjeux fonciers, offrant un cadre propice à une organisation moderne des missions de géométrie. Cette implantation souligne votre exigence d'excellence dans l'accompagnement des propriétaires et des collectivités locales.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au service de vos opérations d'aménagement et de division, tout en mobilisant ma méthode de chercheur pour assimiler rapidement le cadre réglementaire. Je conçois ce stage comme un échange entre la rigueur de la donnée et l'expertise du droit foncier, où ma capacité de synthèse sera un levier pour traiter les dossiers complexes.</w:t>
      </w:r>
    </w:p>
    <w:p>
      <w:pPr>
        <w:spacing w:line="276" w:lineRule="auto" w:before="0" w:after="160"/>
        <w:jc w:val="both"/>
      </w:pPr>
      <w:r>
        <w:t>Lors de ma récente immersion en cabinet, j’ai appréhendé le travail de terrain et la production graphique. Ma maîtrise des données spatiales m’a permis d’assimiler rapidement les méthodes d’acquisition jusqu'à la restitution. Ces semaines ont confirmé que les outils techniques ne prennent leur pleine valeur qu'en appuyant un raisonnement juridique solide.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