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Guillaume Joseph Francois Valentin</w:t>
      </w:r>
    </w:p>
    <w:p>
      <w:pPr>
        <w:spacing w:line="240" w:lineRule="auto" w:before="0" w:after="0"/>
        <w:jc w:val="right"/>
      </w:pPr>
      <w:r>
        <w:t>SARL VALENTIN et Associés</w:t>
      </w:r>
    </w:p>
    <w:p>
      <w:pPr>
        <w:spacing w:line="240" w:lineRule="auto" w:before="0" w:after="0"/>
        <w:jc w:val="right"/>
      </w:pPr>
      <w:r>
        <w:t>580 rue Claude Floret ZA Les Laurons II</w:t>
      </w:r>
    </w:p>
    <w:p>
      <w:pPr>
        <w:spacing w:line="240" w:lineRule="auto" w:before="0" w:after="0"/>
        <w:jc w:val="right"/>
      </w:pPr>
      <w:r>
        <w:t>26110 NYONS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Valentin,</w:t>
      </w:r>
    </w:p>
    <w:p>
      <w:pPr>
        <w:spacing w:line="276" w:lineRule="auto" w:before="0" w:after="160"/>
        <w:jc w:val="both"/>
      </w:pPr>
      <w:r>
        <w:t>Actuellement engagé dans une reconversion vers le métier de géomètre-expert, je préparerai le DPLG en octobre 2026. L'Ordre ayant confirmé l'éligibilité de mon parcours, je recherche un poste de collaborateur pour mon stage professionnel de deux ans. Suite à un stage d’observation instructif au sein du cabinet de Monsieur Pascal Vailles (31), je sollicite aujourd'hui votre structure avec la volonté de m'y investir pleinement.</w:t>
      </w:r>
    </w:p>
    <w:p>
      <w:pPr>
        <w:spacing w:line="276" w:lineRule="auto" w:before="0" w:after="160"/>
        <w:jc w:val="both"/>
      </w:pPr>
      <w:r>
        <w:t>Le métier de géomètre-expert réunit les dimensions qui me passionnent :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par ses implantations à Nyons et Buis-les-Baronnies, témoigne d'une approche de proximité essentielle au métier. Cette organisation permet une présence attentive sur des territoires variés où la diversité des enjeux fonciers ruraux et urbains exige une connaissance fine du terrain. Concilier gestion de proximité et couverture géographique étendue est, selon moi, le garant d'un accompagnement de qualité pour les acteurs locaux, nécessitant réactivité et compréhension précise des spécificités territoriales.</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technique au service de vos opérations d’aménagement, tout en utilisant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ont confirmé que les outils techniques ne prennent leur pleine valeur qu'en appuyant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Valentin,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