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Cabinet COULETTE Thierry</w:t>
      </w:r>
    </w:p>
    <w:p>
      <w:pPr>
        <w:spacing w:line="240" w:lineRule="auto" w:before="0" w:after="0"/>
        <w:jc w:val="right"/>
      </w:pPr>
      <w:r>
        <w:t>272 rue du Commerce</w:t>
      </w:r>
    </w:p>
    <w:p>
      <w:pPr>
        <w:spacing w:line="240" w:lineRule="auto" w:before="0" w:after="0"/>
        <w:jc w:val="right"/>
      </w:pPr>
      <w:r>
        <w:t>42370 RENAISON</w:t>
      </w:r>
    </w:p>
    <w:p>
      <w:pPr>
        <w:spacing w:line="240" w:lineRule="auto" w:before="0" w:after="0"/>
        <w:jc w:val="right"/>
      </w:pPr>
      <w:r>
        <w:t>À l’attention de Monsieur Thierry Coulette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Coulette,</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Suite à un stage d’observation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divers projets d'aménagement.</w:t>
      </w:r>
    </w:p>
    <w:p>
      <w:pPr>
        <w:spacing w:line="276" w:lineRule="auto" w:before="0" w:after="160"/>
        <w:jc w:val="both"/>
      </w:pPr>
      <w:r>
        <w:t>Votre cabinet se distingue par une structure à taille humaine privilégiant la maîtrise du cœur du métier. Cette organisation permet une approche directe et une proximité constante avec les problématiques foncières, garantissant une attention particulière aux dossiers. La dimension indépendante de votre activité souligne une recherche d'excellence technique et une connaissance approfondie des réalités du terrain, essentielles pour sécuriser les opérations de vos clients.</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en m'appuyant sur ma méthode de chercheur pour assimiler rapidement le cadre réglementaire. Je conçois ce stage comme un véritable échange entre la rigueur de la donnée et l'expertise du droit foncier, où ma capacité de synthèse sera un atout majeur pour vos dossiers.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 au sein de votre équipe.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Coulette,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