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Patrick Bourrin</w:t>
      </w:r>
    </w:p>
    <w:p>
      <w:pPr>
        <w:spacing w:line="240" w:lineRule="auto" w:before="0" w:after="0"/>
        <w:jc w:val="right"/>
      </w:pPr>
      <w:r>
        <w:t>SARL de Géomètres-Experts GEOLIS</w:t>
      </w:r>
    </w:p>
    <w:p>
      <w:pPr>
        <w:spacing w:line="240" w:lineRule="auto" w:before="0" w:after="0"/>
        <w:jc w:val="right"/>
      </w:pPr>
      <w:r>
        <w:t>7 avenue de la Coise</w:t>
      </w:r>
    </w:p>
    <w:p>
      <w:pPr>
        <w:spacing w:line="240" w:lineRule="auto" w:before="0" w:after="0"/>
        <w:jc w:val="right"/>
      </w:pPr>
      <w:r>
        <w:t>42330 ST GALMIER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Suite à un stage d’observation au sein du cabinet de Monsieur Pascal Vailles à Muret (31), je dépose aujourd'hui ma candidature avec la ferme ambition de m'investir pleinement et durablement au sein de votre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 Je recherche cette synergie entre précision technique et enjeux juridiques fondamentaux.</w:t>
      </w:r>
    </w:p>
    <w:p>
      <w:pPr>
        <w:spacing w:line="276" w:lineRule="auto" w:before="0" w:after="160"/>
        <w:jc w:val="both"/>
      </w:pPr>
      <w:r>
        <w:t>Votre cabinet se distingue par une approche pluridisciplinaire complète, alliant l'expertise foncière classique aux métiers de l'ingénierie VRD, de l'hydraulique et de l'assainissement. Votre présence sur plusieurs territoires, de la Loire à la Haute-Loire, témoigne d'une grande capacité d'adaptation aux enjeux locaux spécifiques. Par ailleurs, la conservation d'archives historiques remontant jusqu'à 1900 souligne votre attachement au patrimoine foncier, tandis que l'intégration du scanner 3D pour la modélisation d'ouvrages démontre une volonté réelle d'allier précision technique et innovation technologique.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Bourrin,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