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Cédric GONNACHON</w:t>
      </w:r>
    </w:p>
    <w:p>
      <w:pPr>
        <w:spacing w:line="240" w:lineRule="auto" w:before="0" w:after="0"/>
        <w:jc w:val="right"/>
      </w:pPr>
      <w:r>
        <w:t>Chemin de la Galoche</w:t>
      </w:r>
    </w:p>
    <w:p>
      <w:pPr>
        <w:spacing w:line="240" w:lineRule="auto" w:before="0" w:after="0"/>
        <w:jc w:val="right"/>
      </w:pPr>
      <w:r>
        <w:t>43200 YSSINGEAUX</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Cédric GONNACHON,</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constituer mon stage professionnel de deux ans. À la suite d’un stage d’observation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structure à taille humaine, caractéristique d'une expertise de proximité où la maîtrise du cœur de métier est primordiale. En intervenant sur les secteurs de Yssingeaux et de Langeac, vous assurez un accompagnement rigoureux et personnalisé des acteurs locaux. Cette dimension de conseil, alliée à une connaissance fine du territoire, constitue un environnement de travail particulièrement cohérent avec une approche méthodique du droit foncier. Cette organisation permet une gestion de proximité des dossiers, garantissant une expertise ancrée dans les réalités locales.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Cédric GONNACHON,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