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Olivier Girod</w:t>
      </w:r>
    </w:p>
    <w:p>
      <w:pPr>
        <w:spacing w:line="240" w:lineRule="auto" w:before="0" w:after="0"/>
        <w:jc w:val="right"/>
      </w:pPr>
      <w:r>
        <w:t>Cabinet GIROD Christophe</w:t>
      </w:r>
    </w:p>
    <w:p>
      <w:pPr>
        <w:spacing w:line="240" w:lineRule="auto" w:before="0" w:after="0"/>
        <w:jc w:val="right"/>
      </w:pPr>
      <w:r>
        <w:t>77 chemin des Chaux</w:t>
      </w:r>
    </w:p>
    <w:p>
      <w:pPr>
        <w:spacing w:line="240" w:lineRule="auto" w:before="0" w:after="0"/>
        <w:jc w:val="right"/>
      </w:pPr>
      <w:r>
        <w:t>73200 GILLY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Christophe Olivier Girod,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1998, témoigne d'une solide expérience et d'une maîtrise du cœur de métier de la géométrie. Sa structure à taille humaine suggère une approche de proximité et une expertise ancrée dans la réalité du terrain, des valeurs essentielles pour la sécurisation foncière locale. Cette pérennité et la dimension de cabinet de proximité garantissent un accompagnement technique et juridique de qualité, indispensable à la maîtrise des enjeux territoriaux actuels.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et la rigueur nécessaire à l'acquisition des données.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Christophe Olivier Girod,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