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Desjacques</w:t>
      </w:r>
    </w:p>
    <w:p>
      <w:pPr>
        <w:spacing w:line="240" w:lineRule="auto" w:before="0" w:after="0"/>
        <w:jc w:val="right"/>
      </w:pPr>
      <w:r>
        <w:t>Cabinet DESJACQUES Jérôme</w:t>
      </w:r>
    </w:p>
    <w:p>
      <w:pPr>
        <w:spacing w:line="240" w:lineRule="auto" w:before="0" w:after="0"/>
        <w:jc w:val="right"/>
      </w:pPr>
      <w:r>
        <w:t>122 rue de la Vallée Verte</w:t>
      </w:r>
    </w:p>
    <w:p>
      <w:pPr>
        <w:spacing w:line="240" w:lineRule="auto" w:before="0" w:after="0"/>
        <w:jc w:val="right"/>
      </w:pPr>
      <w:r>
        <w:t>74420 BOEGE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postule avec la volonté de m'investir pleinement dans votre structure. Installé à Limoges, je suis mobile sur l'ensemble du territoire français selon vos besoins.</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DESJACQUES Jérôme se distingue par une structure à taille humaine, gage d'une maîtrise rigoureuse du cœur de métier. Cette organisation permet une expertise pointue et une proximité avec les réalités du terrain, garantissant une approche qualitative et une attention particulière aux enjeux fonciers de chaque dossier. Cette dimension de conseil et de précision constitue le socle d'un exercice professionnel solide et de confiance.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Desjacques,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