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Aurélien Pierre Alain Lecomte</w:t>
      </w:r>
    </w:p>
    <w:p>
      <w:pPr>
        <w:spacing w:line="240" w:lineRule="auto" w:before="0" w:after="0"/>
        <w:jc w:val="right"/>
      </w:pPr>
      <w:r>
        <w:t>Cabinet LECOMTE Aurélien</w:t>
      </w:r>
    </w:p>
    <w:p>
      <w:pPr>
        <w:spacing w:line="240" w:lineRule="auto" w:before="0" w:after="0"/>
        <w:jc w:val="right"/>
      </w:pPr>
      <w:r>
        <w:t>49 bis rue de Verdun</w:t>
      </w:r>
    </w:p>
    <w:p>
      <w:pPr>
        <w:spacing w:line="240" w:lineRule="auto" w:before="0" w:after="0"/>
        <w:jc w:val="right"/>
      </w:pPr>
      <w:r>
        <w:t>74150 RUMILLY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Lecomte,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Rumilly depuis 2013, témoigne d'une présence établie et d'une structure à taille humaine favorisant une relation de proximité avec la clientèle. Cette dimension permet de conjuguer une maîtrise rigoureuse du cœur de métier avec l'agilité opérationnelle nécessaire à la diversité des missions. Je perçois dans votre structure un cadre propice à une transmission de compétences de qualité, alliant polyvalence technique et accompagnement structuré.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Lecomte,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