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Christophe Boissenot</w:t>
      </w:r>
    </w:p>
    <w:p>
      <w:pPr>
        <w:spacing w:line="240" w:lineRule="auto" w:before="0" w:after="0"/>
        <w:jc w:val="right"/>
      </w:pPr>
      <w:r>
        <w:t>13 ter rue Saint Michel</w:t>
      </w:r>
    </w:p>
    <w:p>
      <w:pPr>
        <w:spacing w:line="240" w:lineRule="auto" w:before="0" w:after="0"/>
        <w:jc w:val="right"/>
      </w:pPr>
      <w:r>
        <w:t>25120 MAICHE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Boissenot,</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constituant le cadre de mon stage professionnel de deux ans. À l’issue d’un stage d’observation au sein du cabinet de Monsieur Pascal Vailles à Muret (31), je dépose aujourd'hui ma candidature au sein de votre structure.</w:t>
      </w:r>
    </w:p>
    <w:p>
      <w:pPr>
        <w:spacing w:line="276" w:lineRule="auto" w:before="0" w:after="160"/>
        <w:jc w:val="both"/>
      </w:pPr>
      <w:r>
        <w:t>Le métier de géomètre-expert correspond à ce que je recherche : l’articulation entre la rigueur technique sur le terrain et l’ingénierie juridique du territoire. Si la pratique de terrain m’attire, c’est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structure à taille humaine, caractéristique d'une pratique ancrée dans la maîtrise du cœur de métier. Cette organisation permet d'assurer un suivi de proximité et une réactivité essentielle pour la sécurisation foncière des clients. En privilégiant une approche directe et une expertise technique solide, vous garantissez une qualité de service où la précision du conseil et la fiabilité de l'exécution sont primordiales. Cette dimension de proximité constitue un cadre de travail stimulant pour un futur collaborateur.</w:t>
      </w:r>
    </w:p>
    <w:p>
      <w:pPr>
        <w:spacing w:line="276" w:lineRule="auto" w:before="0" w:after="160"/>
        <w:jc w:val="both"/>
      </w:pPr>
      <w:r>
        <w:t>Mon parcours m'a doté d'une forte culture de la donnée spatiale (topographie, modélisation) et d'une solide capacité d'analyse. Mon objectif est de mettre cette force de production technique au service de vos opérations, tout en m'appuyant sur ma méthode de chercheur pour assimiler rapidement le cadre réglementaire de la profession. Je conçois ce stage comme un échange de compétences entre la rigueur de la donnée et l'expertise du droit foncier.</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jusqu’à la restitution graphique. Ces semaines m’ont permis de mesurer que les outils techniques ne prennent leur pleine valeur que lorsqu’ils viennent appuyer un raisonnement juridique. Conscient que la maîtrise opérationnelle s’acquiert par la pratique,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Boissenot,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