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Alexis Henri Georges Meunier</w:t>
      </w:r>
    </w:p>
    <w:p>
      <w:pPr>
        <w:spacing w:line="240" w:lineRule="auto" w:before="0" w:after="0"/>
        <w:jc w:val="right"/>
      </w:pPr>
      <w:r>
        <w:t>SARL Cabinet Alexis MEUNIER</w:t>
      </w:r>
    </w:p>
    <w:p>
      <w:pPr>
        <w:spacing w:line="240" w:lineRule="auto" w:before="0" w:after="0"/>
        <w:jc w:val="right"/>
      </w:pPr>
      <w:r>
        <w:t>1 Place du 8 Mai 1945 Bâtiment Le Major</w:t>
      </w:r>
    </w:p>
    <w:p>
      <w:pPr>
        <w:spacing w:line="240" w:lineRule="auto" w:before="0" w:after="0"/>
        <w:jc w:val="right"/>
      </w:pPr>
      <w:r>
        <w:t>70300 LUXEUIL LES BAINS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Meunier,</w:t>
      </w:r>
    </w:p>
    <w:p>
      <w:pPr>
        <w:spacing w:line="276" w:lineRule="auto" w:before="0" w:after="160"/>
        <w:jc w:val="both"/>
      </w:pPr>
      <w:r>
        <w:t>Actuellement engagé dans une reconversion vers le métier de géomètre-expert, je préparerai le DPLG en octobre 2026. L'Ordre ayant confirmé mon éligibilité, je recherche un poste de collaborateur pour mon stage professionnel de deux ans. Suite à un stage d’observation instructif au sein du cabinet de Monsieur Pascal Vailles (31), je postule aujourd'hui avec l'ambition de m'investir pleinement au sein de votre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les archives historiques, les réalités matérielles et les règles d’urbanisme pour sécuriser des projets complexes, qu’il s’agisse de bornage, de division ou d’aménagement durable.</w:t>
      </w:r>
    </w:p>
    <w:p>
      <w:pPr>
        <w:spacing w:line="276" w:lineRule="auto" w:before="0" w:after="160"/>
        <w:jc w:val="both"/>
      </w:pPr>
      <w:r>
        <w:t>Votre cabinet, fondé en 2023, se distingue par une dynamique de croissance témoignant d'un ancrage solide sur le territoire de Luxeuil-les-Bains. Cette structure récente suggère une agilité opérationnelle et une capacité à répondre avec réactivité aux besoins variés des commandes publique et privée. Cette phase de développement offre une opportunité réelle de structuration de projets d'aménagement et de gestion foncière pour une clientèle locale exigeante.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Meunier,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