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Patrick Branly</w:t>
      </w:r>
    </w:p>
    <w:p>
      <w:pPr>
        <w:spacing w:line="240" w:lineRule="auto" w:before="0" w:after="0"/>
        <w:jc w:val="right"/>
      </w:pPr>
      <w:r>
        <w:t>EURL Cabinet Patrick BRANLY</w:t>
      </w:r>
    </w:p>
    <w:p>
      <w:pPr>
        <w:spacing w:line="240" w:lineRule="auto" w:before="0" w:after="0"/>
        <w:jc w:val="right"/>
      </w:pPr>
      <w:r>
        <w:t>Impasse Saint-Roch, 71570 LA CHAPELLE DE GUINCHAY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structure, établie depuis 2009, incarne une pratique de proximité où la maîtrise du cœur de métier et la connaissance du territoire sont primordiales. Votre présence sur deux sites, à Etrigny et à La Chapelle de Guinchay, témoigne d'un ancrage local fort et d'une capacité à répondre aux enjeux variés des acteurs territoriaux. Cette configuration permet une approche directe des problématiques foncières, alliant technicité rigoureuse et connaissance fine du terrain.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