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du Cabinet Pierre BOUVIER</w:t>
      </w:r>
    </w:p>
    <w:p>
      <w:pPr>
        <w:spacing w:line="240" w:lineRule="auto" w:before="0" w:after="0"/>
        <w:jc w:val="right"/>
      </w:pPr>
      <w:r>
        <w:t>Rue Saint-Eloi BP 140, 71305 MONTCEAU LES MINES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Pierre BOUVIER incarne une expertise ancrée dans son territoire, où la maîtrise du cœur de métier et la proximité avec la clientèle constituent des piliers fondamentaux. Votre ancrage à Montceau-les-Mines témoigne d'un engagement durable auprès des acteurs locaux, garantissant une approche de terrain fiable et une connaissance fine des enjeux fonciers spécifiques à votre zone d'intervention. Cette dimension de service de proximité, alliée à la technicité rigoureuse de vos opérations, constitue un environnement de travail particulièrement cohérent avec mes aspirations professionnelles.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