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Jean-Claude Wolff</w:t>
      </w:r>
    </w:p>
    <w:p>
      <w:pPr>
        <w:spacing w:line="240" w:lineRule="auto" w:before="0" w:after="0"/>
        <w:jc w:val="right"/>
      </w:pPr>
      <w:r>
        <w:t>SARL ADI-ME</w:t>
      </w:r>
    </w:p>
    <w:p>
      <w:pPr>
        <w:spacing w:line="240" w:lineRule="auto" w:before="0" w:after="0"/>
        <w:jc w:val="right"/>
      </w:pPr>
      <w:r>
        <w:t>6 bis rue de Kernevez</w:t>
      </w:r>
    </w:p>
    <w:p>
      <w:pPr>
        <w:spacing w:line="240" w:lineRule="auto" w:before="0" w:after="0"/>
        <w:jc w:val="right"/>
      </w:pPr>
      <w:r>
        <w:t>22740 PLEUMEUR GAUTIER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Wolff,</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En m'adressant au cabinet ADI-ME, je recherche une structure à taille humaine où la maîtrise du cœur de métier et la proximité client sont fondamentales. Votre cabinet, établi à Pleumeur Gautier depuis 2012, incarne une pratique de terrain solide et une connaissance approfondie des enjeux fonciers locaux. Cette configuration me semble idéale pour appréhender la diversité des missions quotidiennes et m'impliquer dans la résolution de problématiques concrètes, tout en bénéficiant d'un environnement de travail privilégié par votre savoir-faire.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Wolff,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