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Marie Deluchat-Lec'Hvien</w:t>
      </w:r>
    </w:p>
    <w:p>
      <w:pPr>
        <w:spacing w:line="240" w:lineRule="auto" w:before="0" w:after="0"/>
        <w:jc w:val="right"/>
      </w:pPr>
      <w:r>
        <w:t>SARL DELUCHAT-LEC'HVIEN</w:t>
      </w:r>
    </w:p>
    <w:p>
      <w:pPr>
        <w:spacing w:line="240" w:lineRule="auto" w:before="0" w:after="0"/>
        <w:jc w:val="right"/>
      </w:pPr>
      <w:r>
        <w:t>34 rue de la Marne</w:t>
      </w:r>
    </w:p>
    <w:p>
      <w:pPr>
        <w:spacing w:line="240" w:lineRule="auto" w:before="0" w:after="0"/>
        <w:jc w:val="right"/>
      </w:pPr>
      <w:r>
        <w:t>22500 PAIMPOL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Deluchat-Lec'Hvien,</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par sa taille humaine et son implantation à Paimpol, témoigne d'une volonté de maîtriser le cœur du métier avec une approche de proximité. Cette organisation permet d'assurer un suivi rigoureux et personnalisé des dossiers fonciers, garantissant une qualité de service ancrée dans la connaissance du territoire. Vous privilégiez une relation de confiance avec vos clients, où l'expertise technique rencontre une écoute attentive des enjeux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Deluchat-Lec'Hvien,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