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Leclerc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Leclerc,</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l'ambition de m'investir durablement au sein d'un cabinet établi.</w:t>
      </w:r>
    </w:p>
    <w:p>
      <w:pPr>
        <w:spacing w:line="276" w:lineRule="auto" w:before="0" w:after="160"/>
        <w:jc w:val="both"/>
      </w:pPr>
      <w:r>
        <w:t>Le métier de géomètre-expert correspond précisément à mes aspirations : l’articulation entre la rigueur technique de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1997, témoigne d'une solide expérience et d'une maîtrise du cœur de métier au sein d'une structure à taille humaine. Cette organisation permet d'allier une approche de proximité avec la clientèle à une expertise technique rigoureuse sur le long terme. La stabilité de votre structure et la qualité du suivi des dossiers fonciers constituent un environnement de travail structurant, axé sur la fiabilité et la continuité du service.</w:t>
      </w:r>
    </w:p>
    <w:p>
      <w:pPr>
        <w:spacing w:line="276" w:lineRule="auto" w:before="0" w:after="160"/>
        <w:jc w:val="both"/>
      </w:pPr>
      <w:r>
        <w:t>Mon parcours m'a doté d'une forte culture de la donnée spatiale (topographie, modélisation) et d'une solide capacité d'analyse face aux problématiques complexes de terrain.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Leclerc,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