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Louis Raoul Maquet</w:t>
      </w:r>
    </w:p>
    <w:p>
      <w:pPr>
        <w:spacing w:line="240" w:lineRule="auto" w:before="0" w:after="0"/>
        <w:jc w:val="right"/>
      </w:pPr>
      <w:r>
        <w:t>Cabinet MAQUET Eric</w:t>
      </w:r>
    </w:p>
    <w:p>
      <w:pPr>
        <w:spacing w:line="240" w:lineRule="auto" w:before="0" w:after="0"/>
        <w:jc w:val="right"/>
      </w:pPr>
      <w:r>
        <w:t>2E rue du Moulin de Melgven</w:t>
      </w:r>
    </w:p>
    <w:p>
      <w:pPr>
        <w:spacing w:line="240" w:lineRule="auto" w:before="0" w:after="0"/>
        <w:jc w:val="right"/>
      </w:pPr>
      <w:r>
        <w:t>29000 QUIMPER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Maquet,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MAQUET Eric se distingue par son implantation plurielle sur le territoire breton, notamment à Quimper et Audierne. Cette présence sur des zones géographiques variées témoigne d'une capacité à intervenir sur des contextes urbains comme ruraux, tout en préservant une structure humaine. Cette organisation permet de conjuguer une maîtrise du cœur de métier avec une proximité de conseil adaptée aux spécificités de chaque territoire.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ma rigueur technique au service de vos opérations, tout en m'appuyant sur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Maquet,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