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BOYER</w:t>
      </w:r>
    </w:p>
    <w:p>
      <w:pPr>
        <w:spacing w:line="240" w:lineRule="auto" w:before="0" w:after="0"/>
        <w:jc w:val="right"/>
      </w:pPr>
      <w:r>
        <w:t>EURL 1TERRAIN</w:t>
      </w:r>
    </w:p>
    <w:p>
      <w:pPr>
        <w:spacing w:line="240" w:lineRule="auto" w:before="0" w:after="0"/>
        <w:jc w:val="right"/>
      </w:pPr>
      <w:r>
        <w:t>9, avenue de Cézembre</w:t>
      </w:r>
    </w:p>
    <w:p>
      <w:pPr>
        <w:spacing w:line="240" w:lineRule="auto" w:before="0" w:after="0"/>
        <w:jc w:val="right"/>
      </w:pPr>
      <w:r>
        <w:t>35170 BRUZ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Boyer,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instructif au sein du cabinet de Monsieur Pascal Vailles à Muret (31),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équilibre entre une entreprise jeune et une solide expérience métier en ingénierie VRD et en médiation foncière. J'ai noté votre volonté d'accompagner les particuliers dans des transactions complexes avec des professionnels de l'immobilier. Cette approche, visant à valoriser la potentialité des terrains tout en bâtissant une relation de confiance, témoigne d'une volonté d'apporter des réponses éclairées et une sécurisation juridique aux projets de vos clients.</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et de vos levés topographiques,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Boyer,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